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Times New Roman"/>
          <w:sz w:val="32"/>
          <w:szCs w:val="32"/>
        </w:rPr>
      </w:pPr>
      <w:r>
        <w:rPr>
          <w:rFonts w:ascii="黑体" w:hAnsi="黑体" w:eastAsia="黑体" w:cs="Times New Roman"/>
          <w:sz w:val="32"/>
          <w:szCs w:val="32"/>
        </w:rPr>
        <w:t>附件1</w:t>
      </w:r>
    </w:p>
    <w:p>
      <w:pPr>
        <w:spacing w:line="600" w:lineRule="exact"/>
        <w:rPr>
          <w:rFonts w:ascii="Times New Roman" w:hAnsi="Times New Roman" w:cs="Times New Roman"/>
        </w:rPr>
      </w:pPr>
      <w:bookmarkStart w:id="0" w:name="_GoBack"/>
      <w:bookmarkEnd w:id="0"/>
    </w:p>
    <w:p>
      <w:pPr>
        <w:widowControl/>
        <w:spacing w:line="600" w:lineRule="exact"/>
        <w:jc w:val="center"/>
        <w:rPr>
          <w:rFonts w:hint="eastAsia" w:ascii="黑体" w:hAnsi="黑体" w:eastAsia="黑体" w:cs="黑体"/>
          <w:b/>
          <w:kern w:val="0"/>
          <w:sz w:val="44"/>
          <w:szCs w:val="44"/>
        </w:rPr>
      </w:pPr>
      <w:r>
        <w:rPr>
          <w:rFonts w:hint="eastAsia" w:ascii="黑体" w:hAnsi="黑体" w:eastAsia="黑体" w:cs="黑体"/>
          <w:b/>
          <w:kern w:val="0"/>
          <w:sz w:val="44"/>
          <w:szCs w:val="44"/>
        </w:rPr>
        <w:t>江苏高校哲学社会科学研究重大研究项目选题指南</w:t>
      </w:r>
    </w:p>
    <w:p>
      <w:pPr>
        <w:spacing w:line="600" w:lineRule="exact"/>
        <w:rPr>
          <w:rFonts w:ascii="Times New Roman" w:hAnsi="Times New Roman" w:eastAsia="宋体" w:cs="Times New Roman"/>
          <w:b/>
          <w:kern w:val="0"/>
          <w:sz w:val="44"/>
          <w:szCs w:val="44"/>
        </w:rPr>
      </w:pPr>
    </w:p>
    <w:p>
      <w:pPr>
        <w:spacing w:line="600" w:lineRule="exact"/>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一、</w:t>
      </w:r>
      <w:r>
        <w:rPr>
          <w:rFonts w:ascii="黑体" w:hAnsi="黑体" w:eastAsia="黑体" w:cs="Times New Roman"/>
          <w:kern w:val="0"/>
          <w:sz w:val="32"/>
          <w:szCs w:val="32"/>
        </w:rPr>
        <w:t>习近平新时代中国特色社会主义思想研究和“四史”研究专项（30项</w:t>
      </w:r>
      <w:r>
        <w:rPr>
          <w:rFonts w:hint="eastAsia" w:ascii="黑体" w:hAnsi="黑体" w:eastAsia="黑体" w:cs="Times New Roman"/>
          <w:kern w:val="0"/>
          <w:sz w:val="32"/>
          <w:szCs w:val="32"/>
        </w:rPr>
        <w:t>左右</w:t>
      </w:r>
      <w:r>
        <w:rPr>
          <w:rFonts w:ascii="黑体" w:hAnsi="黑体" w:eastAsia="黑体" w:cs="Times New Roman"/>
          <w:kern w:val="0"/>
          <w:sz w:val="32"/>
          <w:szCs w:val="32"/>
        </w:rPr>
        <w:t>）</w:t>
      </w:r>
    </w:p>
    <w:p>
      <w:pPr>
        <w:widowControl/>
        <w:spacing w:line="600"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习近平新时代中国特色社会主义思想研究专项主要围绕习近平新时代中国特色社会主义思想研究思想源流、历史脉络、理论体系、实践成效等角度阐明意义价值和内在意蕴。“四史”研究专项主要围绕党史、新中国史、改革开放史、社会主义发展史以及对党史、“四史”学习教育开展的研究阐释。比如，中国共产党治国理政基本经验研究、新中国社会主义现代化发展道路史研究、改革开放的历史进程和基本经验研究、新时代中华民族共同体意识培育研究、中华优秀传统文化与中国特色社会主义关系研究、中国共产党推进共同富裕的理论与实践研究、加强高校“四史”教育研究、高校“四史”课程体系的现状调查与发展路径研究等。</w:t>
      </w:r>
    </w:p>
    <w:p>
      <w:pPr>
        <w:spacing w:line="600" w:lineRule="exact"/>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二、</w:t>
      </w:r>
      <w:r>
        <w:rPr>
          <w:rFonts w:ascii="黑体" w:hAnsi="黑体" w:eastAsia="黑体" w:cs="Times New Roman"/>
          <w:kern w:val="0"/>
          <w:sz w:val="32"/>
          <w:szCs w:val="32"/>
        </w:rPr>
        <w:t>深入推进江苏高质量发展研究专项（30项</w:t>
      </w:r>
      <w:r>
        <w:rPr>
          <w:rFonts w:hint="eastAsia" w:ascii="黑体" w:hAnsi="黑体" w:eastAsia="黑体" w:cs="Times New Roman"/>
          <w:kern w:val="0"/>
          <w:sz w:val="32"/>
          <w:szCs w:val="32"/>
        </w:rPr>
        <w:t>左右</w:t>
      </w:r>
      <w:r>
        <w:rPr>
          <w:rFonts w:ascii="黑体" w:hAnsi="黑体" w:eastAsia="黑体" w:cs="Times New Roman"/>
          <w:kern w:val="0"/>
          <w:sz w:val="32"/>
          <w:szCs w:val="32"/>
        </w:rPr>
        <w:t>）</w:t>
      </w:r>
    </w:p>
    <w:p>
      <w:pPr>
        <w:widowControl/>
        <w:spacing w:line="600" w:lineRule="exact"/>
        <w:ind w:firstLine="640" w:firstLineChars="200"/>
        <w:rPr>
          <w:rFonts w:ascii="仿宋_GB2312" w:hAnsi="Times New Roman" w:eastAsia="仿宋_GB2312" w:cs="Times New Roman"/>
          <w:kern w:val="0"/>
          <w:sz w:val="32"/>
          <w:szCs w:val="32"/>
        </w:rPr>
      </w:pPr>
      <w:r>
        <w:rPr>
          <w:rFonts w:ascii="仿宋_GB2312" w:hAnsi="Times New Roman" w:eastAsia="仿宋_GB2312" w:cs="Times New Roman"/>
          <w:kern w:val="0"/>
          <w:sz w:val="32"/>
          <w:szCs w:val="32"/>
        </w:rPr>
        <w:t>主要围绕江苏实现“两争一前列”重大需求和创新实践的研究阐释。比如，高质量推进长三角一体化发展研究、 “双循环”新发展格局下江苏先进制造业智能化建设研究、碳中和目标下江苏省可再生能源研究、江苏数字经济高质量发展研究、江苏积极应对人口老龄化对策研究、江苏省创新创业人才成长环境优化研究、江苏省民营企业高质量发展驱动机制研究、江苏教育高质量发展体系研究、面向2035江苏高校哲学社会科学高质量发展路径研究、青少年近视综合防控研究、新时代学校体育美育综合评价改革研究、高校统一战线工作服务高质量发展策略研究等。</w:t>
      </w:r>
    </w:p>
    <w:p>
      <w:pPr>
        <w:spacing w:line="600" w:lineRule="exact"/>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三、</w:t>
      </w:r>
      <w:r>
        <w:rPr>
          <w:rFonts w:ascii="黑体" w:hAnsi="黑体" w:eastAsia="黑体" w:cs="Times New Roman"/>
          <w:kern w:val="0"/>
          <w:sz w:val="32"/>
          <w:szCs w:val="32"/>
        </w:rPr>
        <w:t>思想政治工作研究专项（30项</w:t>
      </w:r>
      <w:r>
        <w:rPr>
          <w:rFonts w:hint="eastAsia" w:ascii="黑体" w:hAnsi="黑体" w:eastAsia="黑体" w:cs="Times New Roman"/>
          <w:kern w:val="0"/>
          <w:sz w:val="32"/>
          <w:szCs w:val="32"/>
        </w:rPr>
        <w:t>左右</w:t>
      </w:r>
      <w:r>
        <w:rPr>
          <w:rFonts w:ascii="黑体" w:hAnsi="黑体" w:eastAsia="黑体" w:cs="Times New Roman"/>
          <w:kern w:val="0"/>
          <w:sz w:val="32"/>
          <w:szCs w:val="32"/>
        </w:rPr>
        <w:t>）</w:t>
      </w:r>
    </w:p>
    <w:p>
      <w:pPr>
        <w:widowControl/>
        <w:spacing w:line="600"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主要围绕构建高校思想政治工作体系，推动“三全育人”综合改革，推进新时代学校思想政治理论课改革创新，</w:t>
      </w:r>
      <w:r>
        <w:rPr>
          <w:rFonts w:hint="eastAsia" w:ascii="仿宋_GB2312" w:hAnsi="Times New Roman" w:eastAsia="仿宋_GB2312" w:cs="Times New Roman"/>
          <w:color w:val="000000"/>
          <w:kern w:val="0"/>
          <w:sz w:val="32"/>
          <w:szCs w:val="32"/>
        </w:rPr>
        <w:t>提升思想政治教育工作质量和水平等方面开展研究。比</w:t>
      </w:r>
      <w:r>
        <w:rPr>
          <w:rFonts w:hint="eastAsia" w:ascii="仿宋_GB2312" w:hAnsi="Times New Roman" w:eastAsia="仿宋_GB2312" w:cs="Times New Roman"/>
          <w:kern w:val="0"/>
          <w:sz w:val="32"/>
          <w:szCs w:val="32"/>
        </w:rPr>
        <w:t>如，实施大中小学思政课一体化研究、新时代“大思政课”善用路径研究、</w:t>
      </w:r>
      <w:r>
        <w:rPr>
          <w:rFonts w:hint="eastAsia" w:ascii="仿宋_GB2312" w:hAnsi="Times New Roman" w:eastAsia="仿宋_GB2312" w:cs="Times New Roman"/>
          <w:sz w:val="32"/>
          <w:szCs w:val="32"/>
        </w:rPr>
        <w:t>建立健全思政课教师集体备课制度研究、</w:t>
      </w:r>
      <w:r>
        <w:rPr>
          <w:rFonts w:hint="eastAsia" w:ascii="仿宋_GB2312" w:hAnsi="Times New Roman" w:eastAsia="仿宋_GB2312" w:cs="Times New Roman"/>
          <w:kern w:val="0"/>
          <w:sz w:val="32"/>
          <w:szCs w:val="32"/>
        </w:rPr>
        <w:t>建设思政课优秀案例库研究、思政课教师评价体系研究、互联网思想政治工作载体建设、高校网络舆情引导与应对策略研究、江苏高校思政课和辅导员教师队伍建设现状、问题及对策研究等。</w:t>
      </w:r>
    </w:p>
    <w:p>
      <w:pPr>
        <w:spacing w:line="600" w:lineRule="exact"/>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四、其他重大项目（90项左右）</w:t>
      </w:r>
    </w:p>
    <w:p>
      <w:pPr>
        <w:widowControl/>
        <w:spacing w:line="60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重点</w:t>
      </w:r>
      <w:r>
        <w:rPr>
          <w:rFonts w:ascii="仿宋_GB2312" w:hAnsi="Times New Roman" w:eastAsia="仿宋_GB2312" w:cs="Times New Roman"/>
          <w:kern w:val="0"/>
          <w:sz w:val="32"/>
          <w:szCs w:val="32"/>
        </w:rPr>
        <w:t>围绕</w:t>
      </w:r>
      <w:r>
        <w:rPr>
          <w:rFonts w:hint="eastAsia" w:ascii="仿宋_GB2312" w:hAnsi="Times New Roman" w:eastAsia="仿宋_GB2312" w:cs="Times New Roman"/>
          <w:kern w:val="0"/>
          <w:sz w:val="32"/>
          <w:szCs w:val="32"/>
        </w:rPr>
        <w:t>对教育改革、学科发展具有重要推动作用的基础理论、学术前沿和文献资料整理等开展研究。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3029984"/>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04"/>
    <w:rsid w:val="000F0B47"/>
    <w:rsid w:val="001403CF"/>
    <w:rsid w:val="001B3F64"/>
    <w:rsid w:val="001B655E"/>
    <w:rsid w:val="002401AC"/>
    <w:rsid w:val="00255B70"/>
    <w:rsid w:val="00262354"/>
    <w:rsid w:val="002B7463"/>
    <w:rsid w:val="002D2FF4"/>
    <w:rsid w:val="002F0958"/>
    <w:rsid w:val="002F0DEC"/>
    <w:rsid w:val="002F300B"/>
    <w:rsid w:val="002F30EF"/>
    <w:rsid w:val="002F327F"/>
    <w:rsid w:val="002F33EA"/>
    <w:rsid w:val="0032345C"/>
    <w:rsid w:val="003259F6"/>
    <w:rsid w:val="00330FB1"/>
    <w:rsid w:val="0038269F"/>
    <w:rsid w:val="00411BA6"/>
    <w:rsid w:val="00447739"/>
    <w:rsid w:val="00457EE9"/>
    <w:rsid w:val="004672CF"/>
    <w:rsid w:val="004A6C6B"/>
    <w:rsid w:val="004B6F2B"/>
    <w:rsid w:val="004E4284"/>
    <w:rsid w:val="00527C41"/>
    <w:rsid w:val="00533582"/>
    <w:rsid w:val="0055281A"/>
    <w:rsid w:val="00565F03"/>
    <w:rsid w:val="005669DB"/>
    <w:rsid w:val="00577919"/>
    <w:rsid w:val="005A6B6D"/>
    <w:rsid w:val="005B00E0"/>
    <w:rsid w:val="005B77EC"/>
    <w:rsid w:val="006241E2"/>
    <w:rsid w:val="006D2F00"/>
    <w:rsid w:val="006E5AAB"/>
    <w:rsid w:val="00710851"/>
    <w:rsid w:val="007202FF"/>
    <w:rsid w:val="00790E82"/>
    <w:rsid w:val="007D642A"/>
    <w:rsid w:val="00804BCD"/>
    <w:rsid w:val="00837347"/>
    <w:rsid w:val="00855704"/>
    <w:rsid w:val="00895407"/>
    <w:rsid w:val="0089668D"/>
    <w:rsid w:val="008B3573"/>
    <w:rsid w:val="008D4329"/>
    <w:rsid w:val="00927017"/>
    <w:rsid w:val="009424B1"/>
    <w:rsid w:val="009460FB"/>
    <w:rsid w:val="00984D8D"/>
    <w:rsid w:val="009D5C7D"/>
    <w:rsid w:val="009E0E78"/>
    <w:rsid w:val="00A41E8A"/>
    <w:rsid w:val="00A549E9"/>
    <w:rsid w:val="00A6341F"/>
    <w:rsid w:val="00A65924"/>
    <w:rsid w:val="00A7056C"/>
    <w:rsid w:val="00A82F0D"/>
    <w:rsid w:val="00AB282D"/>
    <w:rsid w:val="00AC114A"/>
    <w:rsid w:val="00AD21A6"/>
    <w:rsid w:val="00AE6918"/>
    <w:rsid w:val="00B11BEC"/>
    <w:rsid w:val="00B13277"/>
    <w:rsid w:val="00B559B1"/>
    <w:rsid w:val="00BB0291"/>
    <w:rsid w:val="00BC2C91"/>
    <w:rsid w:val="00BE0A81"/>
    <w:rsid w:val="00BF2108"/>
    <w:rsid w:val="00C00FE2"/>
    <w:rsid w:val="00C03E68"/>
    <w:rsid w:val="00C058F9"/>
    <w:rsid w:val="00C47391"/>
    <w:rsid w:val="00C5251B"/>
    <w:rsid w:val="00C75501"/>
    <w:rsid w:val="00C8398B"/>
    <w:rsid w:val="00C84057"/>
    <w:rsid w:val="00CC5EBC"/>
    <w:rsid w:val="00CD6235"/>
    <w:rsid w:val="00CE1282"/>
    <w:rsid w:val="00D635C2"/>
    <w:rsid w:val="00D9621B"/>
    <w:rsid w:val="00DA6BBD"/>
    <w:rsid w:val="00DE4CC1"/>
    <w:rsid w:val="00DF2B0F"/>
    <w:rsid w:val="00E13F3E"/>
    <w:rsid w:val="00E24E12"/>
    <w:rsid w:val="00E50C88"/>
    <w:rsid w:val="00E63C4A"/>
    <w:rsid w:val="00E8008E"/>
    <w:rsid w:val="00EA4583"/>
    <w:rsid w:val="00EC1A24"/>
    <w:rsid w:val="00F2197F"/>
    <w:rsid w:val="00F3553D"/>
    <w:rsid w:val="00F51449"/>
    <w:rsid w:val="00F57274"/>
    <w:rsid w:val="00F60890"/>
    <w:rsid w:val="00F72C55"/>
    <w:rsid w:val="00F874FB"/>
    <w:rsid w:val="00FA5CB2"/>
    <w:rsid w:val="00FE6918"/>
    <w:rsid w:val="00FF1C42"/>
    <w:rsid w:val="17706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批注框文本 Char"/>
    <w:basedOn w:val="6"/>
    <w:link w:val="2"/>
    <w:semiHidden/>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江苏省教育厅</Company>
  <Pages>2</Pages>
  <Words>136</Words>
  <Characters>780</Characters>
  <Lines>6</Lines>
  <Paragraphs>1</Paragraphs>
  <TotalTime>167</TotalTime>
  <ScaleCrop>false</ScaleCrop>
  <LinksUpToDate>false</LinksUpToDate>
  <CharactersWithSpaces>915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2021-04-08T03:01:00Z</dcterms:created>
  <dc:creator>Administrator</dc:creator>
  <cp:lastModifiedBy>Mmmm崛起、</cp:lastModifiedBy>
  <cp:lastPrinted>2021-03-30T06:53:00Z</cp:lastPrinted>
  <dcterms:modified xsi:type="dcterms:W3CDTF">2021-04-21T03:34:51Z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B7456E97942446B0B66D34E299F2E3FC</vt:lpwstr>
  </property>
</Properties>
</file>