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40" w:lineRule="exact"/>
        <w:jc w:val="center"/>
        <w:rPr>
          <w:rFonts w:hint="eastAsia" w:ascii="方正小标宋简体" w:hAnsi="方正小标宋简体" w:eastAsia="方正小标宋简体"/>
          <w:color w:val="000000"/>
          <w:sz w:val="44"/>
          <w:szCs w:val="44"/>
          <w:shd w:val="clear" w:color="auto" w:fill="FFFFFF"/>
        </w:rPr>
      </w:pPr>
      <w:bookmarkStart w:id="53" w:name="_GoBack"/>
      <w:bookmarkEnd w:id="53"/>
    </w:p>
    <w:p>
      <w:pPr>
        <w:spacing w:line="560" w:lineRule="exact"/>
        <w:jc w:val="center"/>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2025年度江苏省教育科学规划委托专项课题</w:t>
      </w:r>
    </w:p>
    <w:p>
      <w:pPr>
        <w:spacing w:line="560" w:lineRule="exact"/>
        <w:jc w:val="center"/>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选题指南</w:t>
      </w:r>
    </w:p>
    <w:p>
      <w:pPr>
        <w:spacing w:line="560" w:lineRule="exact"/>
        <w:jc w:val="center"/>
        <w:rPr>
          <w:rFonts w:hint="eastAsia" w:ascii="方正小标宋简体" w:hAnsi="方正小标宋简体" w:eastAsia="方正小标宋简体" w:cs="方正小标宋简体"/>
          <w:spacing w:val="-10"/>
          <w:sz w:val="44"/>
          <w:szCs w:val="44"/>
        </w:rPr>
      </w:pPr>
    </w:p>
    <w:p>
      <w:pPr>
        <w:spacing w:line="560" w:lineRule="exact"/>
        <w:jc w:val="center"/>
        <w:rPr>
          <w:rFonts w:hint="eastAsia" w:ascii="仿宋_GB2312" w:hAnsi="仿宋_GB2312" w:eastAsia="仿宋_GB2312" w:cs="仿宋_GB2312"/>
          <w:spacing w:val="-10"/>
          <w:sz w:val="32"/>
          <w:szCs w:val="32"/>
        </w:rPr>
      </w:pPr>
      <w:r>
        <w:rPr>
          <w:rFonts w:hint="eastAsia" w:ascii="方正小标宋简体" w:hAnsi="方正小标宋简体" w:eastAsia="方正小标宋简体" w:cs="方正小标宋简体"/>
          <w:spacing w:val="-10"/>
          <w:sz w:val="32"/>
          <w:szCs w:val="32"/>
        </w:rPr>
        <w:t>教育考试招生研究专项</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一、专业化考试机构建设研究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1.江苏省学龄人口变动与高等教育招生资源适配性研究</w:t>
      </w:r>
      <w:bookmarkStart w:id="0" w:name="OLE_LINK45"/>
      <w:bookmarkStart w:id="1" w:name="OLE_LINK96"/>
      <w:bookmarkStart w:id="2" w:name="OLE_LINK87"/>
      <w:bookmarkStart w:id="3" w:name="OLE_LINK46"/>
      <w:bookmarkStart w:id="4" w:name="OLE_LINK86"/>
    </w:p>
    <w:bookmarkEnd w:id="0"/>
    <w:bookmarkEnd w:id="1"/>
    <w:bookmarkEnd w:id="2"/>
    <w:bookmarkEnd w:id="3"/>
    <w:bookmarkEnd w:id="4"/>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5" w:name="OLE_LINK7"/>
      <w:bookmarkStart w:id="6" w:name="OLE_LINK97"/>
      <w:bookmarkStart w:id="7" w:name="OLE_LINK8"/>
      <w:r>
        <w:rPr>
          <w:rFonts w:hint="eastAsia" w:ascii="仿宋_GB2312" w:hAnsi="仿宋_GB2312" w:eastAsia="仿宋_GB2312" w:cs="仿宋_GB2312"/>
          <w:sz w:val="32"/>
          <w:szCs w:val="32"/>
        </w:rPr>
        <w:t>教育考试招生数字化转型的策略研究</w:t>
      </w:r>
      <w:bookmarkEnd w:id="5"/>
      <w:bookmarkEnd w:id="6"/>
      <w:bookmarkEnd w:id="7"/>
    </w:p>
    <w:p>
      <w:pPr>
        <w:spacing w:line="560" w:lineRule="exact"/>
        <w:ind w:firstLine="640" w:firstLineChars="200"/>
        <w:rPr>
          <w:rFonts w:hint="eastAsia" w:ascii="仿宋_GB2312" w:hAnsi="仿宋_GB2312" w:eastAsia="仿宋_GB2312" w:cs="仿宋_GB2312"/>
          <w:sz w:val="32"/>
          <w:szCs w:val="32"/>
        </w:rPr>
      </w:pPr>
      <w:bookmarkStart w:id="8" w:name="OLE_LINK19"/>
      <w:bookmarkStart w:id="9" w:name="OLE_LINK49"/>
      <w:bookmarkStart w:id="10" w:name="OLE_LINK35"/>
      <w:bookmarkStart w:id="11" w:name="OLE_LINK16"/>
      <w:bookmarkStart w:id="12" w:name="OLE_LINK17"/>
      <w:bookmarkStart w:id="13" w:name="OLE_LINK18"/>
      <w:r>
        <w:rPr>
          <w:rFonts w:hint="eastAsia" w:ascii="仿宋_GB2312" w:hAnsi="仿宋_GB2312" w:eastAsia="仿宋_GB2312" w:cs="仿宋_GB2312"/>
          <w:sz w:val="32"/>
          <w:szCs w:val="32"/>
        </w:rPr>
        <w:t>3.“十五五”时期教育考试经费保障机制研究</w:t>
      </w:r>
    </w:p>
    <w:bookmarkEnd w:id="8"/>
    <w:bookmarkEnd w:id="9"/>
    <w:bookmarkEnd w:id="10"/>
    <w:bookmarkEnd w:id="11"/>
    <w:bookmarkEnd w:id="12"/>
    <w:bookmarkEnd w:id="13"/>
    <w:p>
      <w:pPr>
        <w:spacing w:line="560" w:lineRule="exact"/>
        <w:ind w:firstLine="640" w:firstLineChars="200"/>
        <w:rPr>
          <w:rFonts w:hint="eastAsia" w:ascii="黑体" w:hAnsi="黑体" w:eastAsia="黑体" w:cs="黑体"/>
          <w:sz w:val="32"/>
          <w:szCs w:val="32"/>
        </w:rPr>
      </w:pPr>
      <w:bookmarkStart w:id="14" w:name="OLE_LINK26"/>
      <w:bookmarkStart w:id="15" w:name="OLE_LINK25"/>
      <w:r>
        <w:rPr>
          <w:rFonts w:hint="eastAsia" w:ascii="黑体" w:hAnsi="黑体" w:eastAsia="黑体" w:cs="黑体"/>
          <w:sz w:val="32"/>
          <w:szCs w:val="32"/>
        </w:rPr>
        <w:t>二、考试招生改革与发展研究</w:t>
      </w:r>
    </w:p>
    <w:bookmarkEnd w:id="14"/>
    <w:bookmarkEnd w:id="15"/>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bookmarkStart w:id="16" w:name="OLE_LINK21"/>
      <w:bookmarkStart w:id="17" w:name="OLE_LINK20"/>
      <w:r>
        <w:rPr>
          <w:rFonts w:hint="eastAsia" w:ascii="仿宋_GB2312" w:hAnsi="仿宋_GB2312" w:eastAsia="仿宋_GB2312" w:cs="仿宋_GB2312"/>
          <w:sz w:val="32"/>
          <w:szCs w:val="32"/>
        </w:rPr>
        <w:t>拔尖创新人才选拔与优质本科招生规模协同发展研究</w:t>
      </w:r>
      <w:bookmarkEnd w:id="16"/>
      <w:bookmarkEnd w:id="17"/>
    </w:p>
    <w:p>
      <w:pPr>
        <w:spacing w:line="560" w:lineRule="exact"/>
        <w:ind w:firstLine="640" w:firstLineChars="200"/>
        <w:rPr>
          <w:rFonts w:hint="eastAsia" w:ascii="仿宋_GB2312" w:hAnsi="仿宋_GB2312" w:eastAsia="仿宋_GB2312" w:cs="仿宋_GB2312"/>
          <w:sz w:val="32"/>
          <w:szCs w:val="32"/>
        </w:rPr>
      </w:pPr>
      <w:bookmarkStart w:id="18" w:name="OLE_LINK28"/>
      <w:bookmarkStart w:id="19" w:name="OLE_LINK29"/>
      <w:r>
        <w:rPr>
          <w:rFonts w:hint="eastAsia" w:ascii="仿宋_GB2312" w:hAnsi="仿宋_GB2312" w:eastAsia="仿宋_GB2312" w:cs="仿宋_GB2312"/>
          <w:sz w:val="32"/>
          <w:szCs w:val="32"/>
        </w:rPr>
        <w:t>5.学术学位与专业学位研究生初试分类考试改革研究</w:t>
      </w:r>
      <w:bookmarkEnd w:id="18"/>
      <w:bookmarkEnd w:id="19"/>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6.职普融通背景下江苏职教高考制度改革深化研究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7.数字化转型驱动下职教招生技能考试改革研究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bookmarkStart w:id="20" w:name="OLE_LINK85"/>
      <w:bookmarkStart w:id="21" w:name="OLE_LINK84"/>
      <w:r>
        <w:rPr>
          <w:rFonts w:hint="eastAsia" w:ascii="仿宋_GB2312" w:hAnsi="仿宋_GB2312" w:eastAsia="仿宋_GB2312" w:cs="仿宋_GB2312"/>
          <w:sz w:val="32"/>
          <w:szCs w:val="32"/>
        </w:rPr>
        <w:t>江苏省高等教育自学考试过程性评价深化研究</w:t>
      </w:r>
    </w:p>
    <w:bookmarkEnd w:id="20"/>
    <w:bookmarkEnd w:id="21"/>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bookmarkStart w:id="22" w:name="OLE_LINK93"/>
      <w:bookmarkStart w:id="23" w:name="OLE_LINK92"/>
      <w:r>
        <w:rPr>
          <w:rFonts w:hint="eastAsia" w:ascii="仿宋_GB2312" w:hAnsi="仿宋_GB2312" w:eastAsia="仿宋_GB2312" w:cs="仿宋_GB2312"/>
          <w:sz w:val="32"/>
          <w:szCs w:val="32"/>
        </w:rPr>
        <w:t>高考志愿填报服务成效及优化路径研究</w:t>
      </w:r>
      <w:bookmarkEnd w:id="22"/>
      <w:bookmarkEnd w:id="23"/>
    </w:p>
    <w:p>
      <w:pPr>
        <w:spacing w:line="560" w:lineRule="exact"/>
        <w:ind w:firstLine="640" w:firstLineChars="200"/>
        <w:rPr>
          <w:rFonts w:hint="eastAsia" w:ascii="仿宋_GB2312" w:hAnsi="仿宋_GB2312" w:eastAsia="仿宋_GB2312" w:cs="仿宋_GB2312"/>
          <w:sz w:val="32"/>
          <w:szCs w:val="32"/>
        </w:rPr>
      </w:pPr>
      <w:bookmarkStart w:id="24" w:name="OLE_LINK4"/>
      <w:bookmarkStart w:id="25" w:name="OLE_LINK3"/>
      <w:r>
        <w:rPr>
          <w:rFonts w:hint="eastAsia" w:ascii="黑体" w:hAnsi="黑体" w:eastAsia="黑体" w:cs="黑体"/>
          <w:sz w:val="32"/>
          <w:szCs w:val="32"/>
        </w:rPr>
        <w:t>三、命题与评价研究</w:t>
      </w:r>
    </w:p>
    <w:bookmarkEnd w:id="24"/>
    <w:bookmarkEnd w:id="25"/>
    <w:p>
      <w:pPr>
        <w:spacing w:line="560" w:lineRule="exact"/>
        <w:ind w:firstLine="640" w:firstLineChars="200"/>
        <w:rPr>
          <w:rFonts w:hint="eastAsia" w:ascii="仿宋_GB2312" w:hAnsi="仿宋_GB2312" w:eastAsia="仿宋_GB2312" w:cs="仿宋_GB2312"/>
          <w:sz w:val="32"/>
          <w:szCs w:val="32"/>
        </w:rPr>
      </w:pPr>
      <w:bookmarkStart w:id="26" w:name="OLE_LINK23"/>
      <w:bookmarkStart w:id="27" w:name="OLE_LINK22"/>
      <w:bookmarkStart w:id="28" w:name="OLE_LINK48"/>
      <w:bookmarkStart w:id="29" w:name="OLE_LINK50"/>
      <w:r>
        <w:rPr>
          <w:rFonts w:hint="eastAsia" w:ascii="仿宋_GB2312" w:hAnsi="仿宋_GB2312" w:eastAsia="仿宋_GB2312" w:cs="仿宋_GB2312"/>
          <w:sz w:val="32"/>
          <w:szCs w:val="32"/>
        </w:rPr>
        <w:t>10.</w:t>
      </w:r>
      <w:bookmarkStart w:id="30" w:name="OLE_LINK42"/>
      <w:bookmarkStart w:id="31" w:name="OLE_LINK41"/>
      <w:bookmarkStart w:id="32" w:name="OLE_LINK47"/>
      <w:r>
        <w:rPr>
          <w:rFonts w:hint="eastAsia" w:ascii="仿宋_GB2312" w:hAnsi="仿宋_GB2312" w:eastAsia="仿宋_GB2312" w:cs="仿宋_GB2312"/>
          <w:sz w:val="32"/>
          <w:szCs w:val="32"/>
        </w:rPr>
        <w:t>江苏高考命题重点强化能力素养思维考查的实施路径研究</w:t>
      </w:r>
      <w:bookmarkEnd w:id="26"/>
      <w:bookmarkEnd w:id="27"/>
      <w:bookmarkEnd w:id="30"/>
      <w:bookmarkEnd w:id="31"/>
      <w:bookmarkEnd w:id="32"/>
    </w:p>
    <w:bookmarkEnd w:id="28"/>
    <w:bookmarkEnd w:id="29"/>
    <w:p>
      <w:pPr>
        <w:spacing w:line="560" w:lineRule="exact"/>
        <w:ind w:firstLine="640" w:firstLineChars="200"/>
        <w:rPr>
          <w:rFonts w:hint="eastAsia" w:ascii="仿宋_GB2312" w:hAnsi="仿宋_GB2312" w:eastAsia="仿宋_GB2312" w:cs="仿宋_GB2312"/>
          <w:sz w:val="32"/>
          <w:szCs w:val="32"/>
        </w:rPr>
      </w:pPr>
      <w:bookmarkStart w:id="33" w:name="OLE_LINK9"/>
      <w:bookmarkStart w:id="34" w:name="OLE_LINK10"/>
      <w:r>
        <w:rPr>
          <w:rFonts w:hint="eastAsia" w:ascii="仿宋_GB2312" w:hAnsi="仿宋_GB2312" w:eastAsia="仿宋_GB2312" w:cs="仿宋_GB2312"/>
          <w:sz w:val="32"/>
          <w:szCs w:val="32"/>
        </w:rPr>
        <w:t>11.江苏教育考试命题分级分类管理体制机制研究</w:t>
      </w:r>
    </w:p>
    <w:bookmarkEnd w:id="33"/>
    <w:bookmarkEnd w:id="34"/>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35" w:name="OLE_LINK51"/>
      <w:bookmarkStart w:id="36" w:name="OLE_LINK13"/>
      <w:r>
        <w:rPr>
          <w:rFonts w:hint="eastAsia" w:ascii="仿宋_GB2312" w:hAnsi="仿宋_GB2312" w:eastAsia="仿宋_GB2312" w:cs="仿宋_GB2312"/>
          <w:sz w:val="32"/>
          <w:szCs w:val="32"/>
        </w:rPr>
        <w:t>2.</w:t>
      </w:r>
      <w:bookmarkEnd w:id="35"/>
      <w:bookmarkEnd w:id="36"/>
      <w:r>
        <w:rPr>
          <w:rFonts w:hint="eastAsia" w:ascii="仿宋_GB2312" w:hAnsi="仿宋_GB2312" w:eastAsia="仿宋_GB2312" w:cs="仿宋_GB2312"/>
          <w:sz w:val="32"/>
          <w:szCs w:val="32"/>
        </w:rPr>
        <w:t>科学教育视域下江苏高考理科实验能力评价的实证研究</w:t>
      </w:r>
    </w:p>
    <w:p>
      <w:pPr>
        <w:spacing w:line="560" w:lineRule="exact"/>
        <w:ind w:firstLine="640" w:firstLineChars="200"/>
        <w:rPr>
          <w:rFonts w:hint="eastAsia" w:ascii="黑体" w:hAnsi="黑体" w:eastAsia="黑体" w:cs="黑体"/>
          <w:sz w:val="32"/>
          <w:szCs w:val="32"/>
        </w:rPr>
      </w:pPr>
      <w:bookmarkStart w:id="37" w:name="OLE_LINK74"/>
      <w:bookmarkStart w:id="38" w:name="OLE_LINK73"/>
      <w:r>
        <w:rPr>
          <w:rFonts w:hint="eastAsia" w:ascii="黑体" w:hAnsi="黑体" w:eastAsia="黑体" w:cs="黑体"/>
          <w:sz w:val="32"/>
          <w:szCs w:val="32"/>
        </w:rPr>
        <w:t>四、信息技术应用机制研究</w:t>
      </w:r>
    </w:p>
    <w:bookmarkEnd w:id="37"/>
    <w:bookmarkEnd w:id="38"/>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39" w:name="OLE_LINK53"/>
      <w:bookmarkStart w:id="40" w:name="OLE_LINK52"/>
      <w:r>
        <w:rPr>
          <w:rFonts w:hint="eastAsia" w:ascii="仿宋_GB2312" w:hAnsi="仿宋_GB2312" w:eastAsia="仿宋_GB2312" w:cs="仿宋_GB2312"/>
          <w:sz w:val="32"/>
          <w:szCs w:val="32"/>
        </w:rPr>
        <w:t>3.</w:t>
      </w:r>
      <w:bookmarkEnd w:id="39"/>
      <w:bookmarkEnd w:id="40"/>
      <w:r>
        <w:rPr>
          <w:rFonts w:hint="eastAsia" w:ascii="仿宋_GB2312" w:hAnsi="仿宋_GB2312" w:eastAsia="仿宋_GB2312" w:cs="仿宋_GB2312"/>
          <w:sz w:val="32"/>
          <w:szCs w:val="32"/>
        </w:rPr>
        <w:t>考试规模变化趋势下国家教育考试标准化考点建设优化路径研究</w:t>
      </w:r>
    </w:p>
    <w:p>
      <w:pPr>
        <w:spacing w:line="560" w:lineRule="exact"/>
        <w:ind w:firstLine="640" w:firstLineChars="200"/>
        <w:rPr>
          <w:rFonts w:hint="eastAsia" w:ascii="仿宋_GB2312" w:hAnsi="仿宋_GB2312" w:eastAsia="仿宋_GB2312" w:cs="仿宋_GB2312"/>
          <w:sz w:val="32"/>
          <w:szCs w:val="32"/>
        </w:rPr>
      </w:pPr>
      <w:bookmarkStart w:id="41" w:name="OLE_LINK65"/>
      <w:bookmarkStart w:id="42" w:name="OLE_LINK66"/>
      <w:bookmarkStart w:id="43" w:name="OLE_LINK62"/>
      <w:bookmarkStart w:id="44" w:name="OLE_LINK61"/>
      <w:r>
        <w:rPr>
          <w:rFonts w:hint="eastAsia" w:ascii="仿宋_GB2312" w:hAnsi="仿宋_GB2312" w:eastAsia="仿宋_GB2312" w:cs="仿宋_GB2312"/>
          <w:sz w:val="32"/>
          <w:szCs w:val="32"/>
        </w:rPr>
        <w:t>14.</w:t>
      </w:r>
      <w:bookmarkEnd w:id="41"/>
      <w:bookmarkEnd w:id="42"/>
      <w:bookmarkStart w:id="45" w:name="OLE_LINK63"/>
      <w:bookmarkStart w:id="46" w:name="OLE_LINK56"/>
      <w:bookmarkStart w:id="47" w:name="OLE_LINK64"/>
      <w:r>
        <w:rPr>
          <w:rFonts w:hint="eastAsia" w:ascii="仿宋_GB2312" w:hAnsi="仿宋_GB2312" w:eastAsia="仿宋_GB2312" w:cs="仿宋_GB2312"/>
          <w:sz w:val="32"/>
          <w:szCs w:val="32"/>
        </w:rPr>
        <w:t>大规模教育考试机考管理体系构建</w:t>
      </w:r>
      <w:bookmarkEnd w:id="45"/>
      <w:bookmarkEnd w:id="46"/>
      <w:bookmarkEnd w:id="47"/>
      <w:r>
        <w:rPr>
          <w:rFonts w:hint="eastAsia" w:ascii="仿宋_GB2312" w:hAnsi="仿宋_GB2312" w:eastAsia="仿宋_GB2312" w:cs="仿宋_GB2312"/>
          <w:sz w:val="32"/>
          <w:szCs w:val="32"/>
        </w:rPr>
        <w:t>与实施研究</w:t>
      </w:r>
      <w:bookmarkStart w:id="48" w:name="OLE_LINK71"/>
      <w:bookmarkStart w:id="49" w:name="OLE_LINK72"/>
    </w:p>
    <w:bookmarkEnd w:id="43"/>
    <w:bookmarkEnd w:id="44"/>
    <w:bookmarkEnd w:id="48"/>
    <w:bookmarkEnd w:id="49"/>
    <w:p>
      <w:pPr>
        <w:spacing w:line="560" w:lineRule="exact"/>
        <w:ind w:firstLine="640" w:firstLineChars="200"/>
        <w:rPr>
          <w:rFonts w:hint="eastAsia" w:ascii="仿宋_GB2312" w:hAnsi="仿宋_GB2312" w:eastAsia="仿宋_GB2312" w:cs="仿宋_GB2312"/>
          <w:sz w:val="32"/>
          <w:szCs w:val="32"/>
        </w:rPr>
      </w:pPr>
      <w:bookmarkStart w:id="50" w:name="OLE_LINK81"/>
      <w:r>
        <w:rPr>
          <w:rFonts w:hint="eastAsia" w:ascii="仿宋_GB2312" w:hAnsi="仿宋_GB2312" w:eastAsia="仿宋_GB2312" w:cs="仿宋_GB2312"/>
          <w:sz w:val="32"/>
          <w:szCs w:val="32"/>
        </w:rPr>
        <w:t>15.人工智能技术赋能教育招生考试改革创新研究</w:t>
      </w:r>
      <w:bookmarkEnd w:id="50"/>
    </w:p>
    <w:p>
      <w:pPr>
        <w:spacing w:line="560" w:lineRule="exact"/>
        <w:ind w:firstLine="640" w:firstLineChars="200"/>
        <w:rPr>
          <w:rFonts w:hint="eastAsia"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spacing w:val="-10"/>
          <w:sz w:val="32"/>
          <w:szCs w:val="32"/>
        </w:rPr>
      </w:pPr>
      <w:r>
        <w:rPr>
          <w:rFonts w:hint="eastAsia" w:ascii="方正小标宋简体" w:hAnsi="方正小标宋简体" w:eastAsia="方正小标宋简体" w:cs="方正小标宋简体"/>
          <w:spacing w:val="-10"/>
          <w:sz w:val="32"/>
          <w:szCs w:val="32"/>
        </w:rPr>
        <w:t>陶行知教育思想研究专项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1.陶行知精神内涵、特质及其当代价值研究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2.陶行知人格品质与新时代教育家精神的内在关联研究</w:t>
      </w:r>
    </w:p>
    <w:p>
      <w:pPr>
        <w:autoSpaceDE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3.陶行知教育家精神视域下“大先生”培养的模式创新与实现路径研究 </w:t>
      </w:r>
    </w:p>
    <w:p>
      <w:pPr>
        <w:autoSpaceDE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4.陶行知教育家精神引领乡村教育振兴的机制与策略研究</w:t>
      </w:r>
    </w:p>
    <w:p>
      <w:pPr>
        <w:autoSpaceDE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5.陶行知教育家精神传承与区域教育生态优化的协同机制研究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6.陶行知中小学教科书编撰思想及当代启示研究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7.陶行知科学下嫁运动对新时代中小学生科学教育的启示研究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8.陶行知教育思想引领下的乡村教师教研能力提升研究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9.“生活·实践”教育理念下区域教育改革与发展研究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10.基于陶行知生活教育理论的师范生教育实践能力培养路径研究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11.陶行知“生活教育”理念指导下新时代师范生跨学科教学能力培养研究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12.基于陶行知“艺友制”理念的非遗技艺双师协同育人机制研究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13.“生活即教育”理念下大中小学英语课程思政资源一体化建设研究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14.新课标背景下陶行知语文教育思想阐释与实践转化研究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15.“教学做合一”理念下AI赋能课堂教学的行动研究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16.陶行知生活教育理论融入高校劳动教育的时代价值与实践路径研究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17.陶行知“生利主义”视域下职业院校“劳动+”育人模式建构与实施研究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18.陶行知“三力”思想下新时代中小学劳动教育融合创新的实践研究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19.基于陶行知“知行合一”思想的小学跨学科主题学习的实践研究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20.陶行知爱的思想引领下中小学生社会情感能力培养策略研究</w:t>
      </w:r>
    </w:p>
    <w:p>
      <w:pPr>
        <w:autoSpaceDE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21.小先生制下朋辈辅学的机制与策略研究 </w:t>
      </w:r>
    </w:p>
    <w:p>
      <w:pPr>
        <w:autoSpaceDE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22.陶行知心育思想引领下中小学生健全人格养成路径研究</w:t>
      </w:r>
    </w:p>
    <w:p>
      <w:pPr>
        <w:autoSpaceDE w:val="0"/>
        <w:spacing w:line="560" w:lineRule="exact"/>
        <w:ind w:firstLine="640" w:firstLineChars="200"/>
        <w:jc w:val="left"/>
        <w:rPr>
          <w:rFonts w:hint="eastAsia"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spacing w:val="-10"/>
          <w:sz w:val="32"/>
          <w:szCs w:val="32"/>
        </w:rPr>
      </w:pPr>
      <w:r>
        <w:rPr>
          <w:rFonts w:hint="eastAsia" w:ascii="方正小标宋简体" w:hAnsi="方正小标宋简体" w:eastAsia="方正小标宋简体" w:cs="方正小标宋简体"/>
          <w:spacing w:val="-10"/>
          <w:sz w:val="32"/>
          <w:szCs w:val="32"/>
        </w:rPr>
        <w:t>叶圣陶教育思想研究专项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1.叶圣陶教育思想引领下学生社会情感能力培养研究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2.叶圣陶“语言教育观”在现代语文教学中的应用研究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3.“教是为了不教”理念下人工智能赋能教学变革的实践研究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4.叶圣陶“习惯养成”思想视域下中小学生微行为情境创设的实践研究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5.叶圣陶教育思想引领下中小学跨学科主题活动实施研究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6.叶圣陶“语言与思维并重”思想下习作教学模式构建研究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7.叶圣陶“读写一体”语文教育思想的教学应用研究</w:t>
      </w:r>
    </w:p>
    <w:p>
      <w:pPr>
        <w:spacing w:line="560" w:lineRule="exact"/>
        <w:ind w:firstLine="640" w:firstLineChars="200"/>
        <w:rPr>
          <w:rFonts w:hint="eastAsia" w:ascii="仿宋_GB2312" w:hAnsi="仿宋_GB2312" w:eastAsia="仿宋_GB2312" w:cs="仿宋_GB2312"/>
          <w:sz w:val="32"/>
          <w:szCs w:val="32"/>
        </w:rPr>
      </w:pPr>
    </w:p>
    <w:p>
      <w:pPr>
        <w:spacing w:line="560" w:lineRule="exact"/>
        <w:jc w:val="center"/>
        <w:rPr>
          <w:rFonts w:hint="eastAsia" w:ascii="黑体" w:hAnsi="黑体" w:eastAsia="黑体" w:cs="黑体"/>
          <w:color w:val="333333"/>
          <w:sz w:val="32"/>
          <w:szCs w:val="32"/>
          <w:shd w:val="clear" w:color="auto" w:fill="FFFFFF"/>
        </w:rPr>
      </w:pPr>
      <w:r>
        <w:rPr>
          <w:rFonts w:hint="eastAsia" w:ascii="方正小标宋简体" w:hAnsi="方正小标宋简体" w:eastAsia="方正小标宋简体" w:cs="方正小标宋简体"/>
          <w:spacing w:val="-10"/>
          <w:sz w:val="32"/>
          <w:szCs w:val="32"/>
        </w:rPr>
        <w:t>教师发展研究专项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1.数智技术促进小学教师课程领导力提升的路径研究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2.智能教育场景中教师技术依赖的伦理风险研究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3.美育浸润行动背景下音乐教师中华优秀传统文化传承能力培育研究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4.人工智能背景下中小学英语教师数字化教学能力指标及发展策略研究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5.新课标视野下中小学教师跨学科素养的构成与提升研究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6.教育家精神融入教师教育课程的有效路径研究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bookmarkStart w:id="51" w:name="OLE_LINK12"/>
      <w:bookmarkStart w:id="52" w:name="OLE_LINK11"/>
      <w:r>
        <w:rPr>
          <w:rFonts w:hint="eastAsia" w:ascii="仿宋_GB2312" w:hAnsi="仿宋_GB2312" w:eastAsia="仿宋_GB2312" w:cs="仿宋_GB2312"/>
          <w:sz w:val="32"/>
          <w:szCs w:val="32"/>
        </w:rPr>
        <w:t>中小学教师数字素养的动态评价与培育路径研究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bookmarkEnd w:id="51"/>
      <w:bookmarkEnd w:id="52"/>
      <w:r>
        <w:rPr>
          <w:rFonts w:hint="eastAsia" w:ascii="仿宋_GB2312" w:hAnsi="仿宋_GB2312" w:eastAsia="仿宋_GB2312" w:cs="仿宋_GB2312"/>
          <w:sz w:val="32"/>
          <w:szCs w:val="32"/>
        </w:rPr>
        <w:t>职前化学教师实验教学素养模型及培养机制研究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9.依托大语言模型的教师专业发展路径研究</w:t>
      </w:r>
    </w:p>
    <w:p>
      <w:pPr>
        <w:spacing w:line="560" w:lineRule="exact"/>
        <w:jc w:val="both"/>
        <w:rPr>
          <w:rFonts w:hint="eastAsia" w:ascii="方正小标宋简体" w:hAnsi="方正小标宋简体" w:eastAsia="方正小标宋简体" w:cs="方正小标宋简体"/>
          <w:spacing w:val="-10"/>
          <w:sz w:val="32"/>
          <w:szCs w:val="32"/>
        </w:rPr>
      </w:pPr>
    </w:p>
    <w:p>
      <w:pPr>
        <w:spacing w:line="560" w:lineRule="exact"/>
        <w:jc w:val="center"/>
        <w:rPr>
          <w:rFonts w:hint="eastAsia" w:ascii="方正小标宋简体" w:hAnsi="方正小标宋简体" w:eastAsia="方正小标宋简体" w:cs="方正小标宋简体"/>
          <w:spacing w:val="-10"/>
          <w:sz w:val="32"/>
          <w:szCs w:val="32"/>
        </w:rPr>
      </w:pPr>
      <w:r>
        <w:rPr>
          <w:rFonts w:hint="eastAsia" w:ascii="方正小标宋简体" w:hAnsi="方正小标宋简体" w:eastAsia="方正小标宋简体" w:cs="方正小标宋简体"/>
          <w:spacing w:val="-10"/>
          <w:sz w:val="32"/>
          <w:szCs w:val="32"/>
        </w:rPr>
        <w:t>“大思政课”研究专项</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1.实施新时代立德树人工程背景下“大思政课”建设与发展的基本理论研究</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2.大中小学思政课一体化建设中课程内容的衔接与递进研究</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3.基于地域文化的大中小学思政教育一体化建设研究</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4.中华优秀传统文化在</w:t>
      </w:r>
      <w:r>
        <w:rPr>
          <w:rFonts w:hint="eastAsia" w:ascii="仿宋_GB2312" w:hAnsi="仿宋_GB2312" w:eastAsia="仿宋_GB2312" w:cs="仿宋_GB2312"/>
          <w:sz w:val="32"/>
          <w:szCs w:val="32"/>
          <w:lang w:eastAsia="zh-CN"/>
        </w:rPr>
        <w:t>“大思政课”</w:t>
      </w:r>
      <w:r>
        <w:rPr>
          <w:rFonts w:hint="eastAsia" w:ascii="仿宋_GB2312" w:hAnsi="仿宋_GB2312" w:eastAsia="仿宋_GB2312" w:cs="仿宋_GB2312"/>
          <w:sz w:val="32"/>
          <w:szCs w:val="32"/>
        </w:rPr>
        <w:t>中创造性转化和创新性发展研究</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5.人工智能在</w:t>
      </w:r>
      <w:r>
        <w:rPr>
          <w:rFonts w:hint="eastAsia" w:ascii="仿宋_GB2312" w:hAnsi="仿宋_GB2312" w:eastAsia="仿宋_GB2312" w:cs="仿宋_GB2312"/>
          <w:sz w:val="32"/>
          <w:szCs w:val="32"/>
          <w:lang w:eastAsia="zh-CN"/>
        </w:rPr>
        <w:t>“大思政课”</w:t>
      </w:r>
      <w:r>
        <w:rPr>
          <w:rFonts w:hint="eastAsia" w:ascii="仿宋_GB2312" w:hAnsi="仿宋_GB2312" w:eastAsia="仿宋_GB2312" w:cs="仿宋_GB2312"/>
          <w:sz w:val="32"/>
          <w:szCs w:val="32"/>
        </w:rPr>
        <w:t>场景中的应用及效果评估研究</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6.“大思政课”视域下跨学科协同育人实施策略的研究</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7.“大思政课”视域下主题班会育人实践的创新研究</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8.“大思政课”视域下推进中小学学科德育的策略研究</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9.网络思政育人空间构建与实施路径研究</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10.社会主义核心价值观与重大主题教育课程化体系化实施研究</w:t>
      </w:r>
    </w:p>
    <w:p>
      <w:pPr>
        <w:spacing w:line="560" w:lineRule="exact"/>
        <w:rPr>
          <w:rFonts w:hint="eastAsia" w:ascii="仿宋_GB2312" w:hAnsi="仿宋_GB2312" w:eastAsia="仿宋_GB2312" w:cs="仿宋_GB2312"/>
          <w:sz w:val="32"/>
          <w:szCs w:val="32"/>
        </w:rPr>
      </w:pPr>
    </w:p>
    <w:p>
      <w:pPr>
        <w:spacing w:line="560" w:lineRule="exact"/>
        <w:jc w:val="center"/>
        <w:rPr>
          <w:rFonts w:hint="eastAsia" w:ascii="黑体" w:hAnsi="黑体" w:eastAsia="黑体" w:cs="黑体"/>
          <w:color w:val="333333"/>
          <w:sz w:val="32"/>
          <w:szCs w:val="32"/>
          <w:shd w:val="clear" w:color="auto" w:fill="FFFFFF"/>
        </w:rPr>
      </w:pPr>
      <w:r>
        <w:rPr>
          <w:rFonts w:hint="eastAsia" w:ascii="方正小标宋简体" w:hAnsi="方正小标宋简体" w:eastAsia="方正小标宋简体" w:cs="方正小标宋简体"/>
          <w:spacing w:val="-10"/>
          <w:sz w:val="32"/>
          <w:szCs w:val="32"/>
        </w:rPr>
        <w:t>人工智能赋能教育教学研究专项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1.人工智能赋能学生个性化发展的机制构建与实施路径研究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2.人工智能支持的教师精准研修模式设计与实践研究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3.智能体在教学场景中的应用及其有效性研究</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4.数智环境下中小学实验教学策略研究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5.基于人工智能的人机共教模式构建及应用研究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6.人工智能支持下的教育评价体系与方法改革研究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7.人工智能实验室的模块化构建与教学应用研究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8.中小学教师人工智能素养框架构建与提升策略研究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9.人工智能促进教育治理高效化的路径研究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10.人工智能嵌入教育应用的风险识别与治理策略研究</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sz w:val="32"/>
          <w:szCs w:val="32"/>
        </w:rPr>
        <w:t>.人工智能课程资源开发与应用的实践研究</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sz w:val="32"/>
          <w:szCs w:val="32"/>
        </w:rPr>
        <w:t>2</w:t>
      </w:r>
      <w:r>
        <w:rPr>
          <w:rFonts w:hint="eastAsia" w:ascii="仿宋_GB2312" w:hAnsi="仿宋_GB2312" w:eastAsia="仿宋_GB2312" w:cs="仿宋_GB2312"/>
          <w:color w:val="auto"/>
          <w:sz w:val="32"/>
          <w:szCs w:val="32"/>
        </w:rPr>
        <w:t>.大中小学人工智能教育一体化发展路径与模式研究</w:t>
      </w:r>
    </w:p>
    <w:p>
      <w:pPr>
        <w:spacing w:line="560" w:lineRule="exact"/>
        <w:rPr>
          <w:rFonts w:hint="eastAsia" w:ascii="方正小标宋简体" w:hAnsi="方正小标宋简体" w:eastAsia="方正小标宋简体" w:cs="方正小标宋简体"/>
          <w:spacing w:val="-10"/>
          <w:sz w:val="32"/>
          <w:szCs w:val="32"/>
        </w:rPr>
      </w:pPr>
    </w:p>
    <w:p>
      <w:pPr>
        <w:spacing w:line="560" w:lineRule="exact"/>
        <w:jc w:val="center"/>
        <w:rPr>
          <w:rFonts w:hint="eastAsia" w:ascii="方正小标宋简体" w:hAnsi="方正小标宋简体" w:eastAsia="方正小标宋简体" w:cs="方正小标宋简体"/>
          <w:spacing w:val="-10"/>
          <w:sz w:val="32"/>
          <w:szCs w:val="32"/>
        </w:rPr>
      </w:pPr>
      <w:r>
        <w:rPr>
          <w:rFonts w:hint="eastAsia" w:ascii="方正小标宋简体" w:hAnsi="方正小标宋简体" w:eastAsia="方正小标宋简体" w:cs="方正小标宋简体"/>
          <w:spacing w:val="-10"/>
          <w:sz w:val="32"/>
          <w:szCs w:val="32"/>
        </w:rPr>
        <w:t>教育智库研究专项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1.加快建成教育强省的瓶颈制约与破解对策研究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2.教育强省建设背景下教育战略性投入机制创新研究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3.世界主要发达国家教育政策发展的现状、趋势与启示研究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4.教育支撑科技创新和人才培养的机制与路径研究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5.学龄人口变动下推进中小学“小班化”教学策略研究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6.基础教育学制改革创新研究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7.“市县结合”的基础教育管理体制改革研究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8.职业院校贯通培养的现实困境与优化策略研究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9.高校科技成果转化面临的堵点及其破解路径研究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10.分类推进高校改革发展的困境及其对策研究</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ZGZhMzFlYzllMzFjZmViMmE3MGVhOGU4ODBkYjQifQ=="/>
    <w:docVar w:name="KSO_WPS_MARK_KEY" w:val="5b4cb91a-a043-4c3d-b622-9ad954c0dfa7"/>
  </w:docVars>
  <w:rsids>
    <w:rsidRoot w:val="654C2D2D"/>
    <w:rsid w:val="0005093E"/>
    <w:rsid w:val="00320A71"/>
    <w:rsid w:val="003E6A2C"/>
    <w:rsid w:val="004B11A1"/>
    <w:rsid w:val="0060431B"/>
    <w:rsid w:val="006D6825"/>
    <w:rsid w:val="00740CC0"/>
    <w:rsid w:val="00807BC3"/>
    <w:rsid w:val="00845FBF"/>
    <w:rsid w:val="00A82881"/>
    <w:rsid w:val="00C85C0B"/>
    <w:rsid w:val="03E125EC"/>
    <w:rsid w:val="046B3464"/>
    <w:rsid w:val="04F5383B"/>
    <w:rsid w:val="08D5065D"/>
    <w:rsid w:val="0F4E08A7"/>
    <w:rsid w:val="12793CEF"/>
    <w:rsid w:val="20226FFD"/>
    <w:rsid w:val="2C6C703E"/>
    <w:rsid w:val="2D4463C5"/>
    <w:rsid w:val="2E2F6351"/>
    <w:rsid w:val="3AC56767"/>
    <w:rsid w:val="527D4442"/>
    <w:rsid w:val="654C2D2D"/>
    <w:rsid w:val="66417809"/>
    <w:rsid w:val="683D1FB1"/>
    <w:rsid w:val="747619AF"/>
    <w:rsid w:val="75C86423"/>
    <w:rsid w:val="79D95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22"/>
    <w:rPr>
      <w:b/>
      <w:bCs/>
    </w:rPr>
  </w:style>
  <w:style w:type="paragraph" w:styleId="7">
    <w:name w:val="List Paragraph"/>
    <w:basedOn w:val="1"/>
    <w:qFormat/>
    <w:uiPriority w:val="34"/>
    <w:pPr>
      <w:ind w:firstLine="420" w:firstLineChars="200"/>
    </w:pPr>
    <w:rPr>
      <w:rFonts w:ascii="等线" w:hAnsi="等线" w:eastAsia="等线"/>
    </w:rPr>
  </w:style>
  <w:style w:type="paragraph" w:customStyle="1" w:styleId="8">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2172</Words>
  <Characters>2285</Characters>
  <Lines>76</Lines>
  <Paragraphs>61</Paragraphs>
  <TotalTime>221</TotalTime>
  <ScaleCrop>false</ScaleCrop>
  <LinksUpToDate>false</LinksUpToDate>
  <CharactersWithSpaces>2287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2024-06-18T08:17:00Z</dcterms:created>
  <dc:creator>xuliang2</dc:creator>
  <cp:lastModifiedBy>苏阳</cp:lastModifiedBy>
  <cp:lastPrinted>2025-06-24T03:34:27Z</cp:lastPrinted>
  <dcterms:modified xsi:type="dcterms:W3CDTF">2025-06-24T03:34:32Z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5A542FD832E247B8B049D4BEBF56FD2C</vt:lpwstr>
  </property>
  <property fmtid="{D5CDD505-2E9C-101B-9397-08002B2CF9AE}" pid="4" name="KSOTemplateDocerSaveRecord">
    <vt:lpwstr>eyJoZGlkIjoiNzEzZTZhYjU1Y2JmZjZjNTM2NDAwYzYwYzYwMDZhZDciLCJ1c2VySWQiOiI0MjUyMzc3NjQifQ==</vt:lpwstr>
  </property>
</Properties>
</file>