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b/>
          <w:sz w:val="60"/>
          <w:szCs w:val="60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60"/>
          <w:szCs w:val="60"/>
          <w:lang w:val="en-US" w:eastAsia="zh-CN"/>
        </w:rPr>
        <w:t>南京艺术学院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楷体" w:hAnsi="华文楷体" w:eastAsia="华文楷体" w:cs="华文楷体"/>
          <w:b/>
          <w:sz w:val="52"/>
          <w:szCs w:val="5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60"/>
          <w:szCs w:val="60"/>
          <w:lang w:val="en-US" w:eastAsia="zh-CN"/>
        </w:rPr>
        <w:t>基层教学组织建设任务书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负 责 </w:t>
      </w:r>
      <w:r>
        <w:rPr>
          <w:rFonts w:hint="eastAsia" w:ascii="仿宋_GB2312" w:eastAsia="仿宋_GB2312"/>
          <w:sz w:val="32"/>
          <w:szCs w:val="32"/>
        </w:rPr>
        <w:t xml:space="preserve">人：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所属</w:t>
      </w:r>
      <w:r>
        <w:rPr>
          <w:rFonts w:hint="eastAsia" w:ascii="仿宋_GB2312" w:eastAsia="仿宋_GB2312"/>
          <w:sz w:val="32"/>
          <w:szCs w:val="32"/>
        </w:rPr>
        <w:t xml:space="preserve">单位：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备案</w:t>
      </w:r>
      <w:r>
        <w:rPr>
          <w:rFonts w:hint="eastAsia" w:ascii="仿宋_GB2312" w:eastAsia="仿宋_GB2312"/>
          <w:sz w:val="32"/>
          <w:szCs w:val="32"/>
          <w:lang w:eastAsia="zh-CN"/>
        </w:rPr>
        <w:t>时间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</w:p>
    <w:p>
      <w:pPr>
        <w:ind w:firstLine="1120" w:firstLineChars="35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28"/>
          <w:lang w:eastAsia="zh-CN"/>
        </w:rPr>
        <w:t>教务处</w:t>
      </w:r>
      <w:r>
        <w:rPr>
          <w:rFonts w:hint="eastAsia" w:ascii="仿宋_GB2312" w:eastAsia="仿宋_GB2312"/>
          <w:sz w:val="32"/>
          <w:szCs w:val="28"/>
        </w:rPr>
        <w:t>制</w:t>
      </w:r>
    </w:p>
    <w:p>
      <w:pPr>
        <w:spacing w:line="360" w:lineRule="auto"/>
        <w:ind w:left="614" w:hanging="691" w:hangingChars="192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6"/>
          <w:szCs w:val="36"/>
        </w:rPr>
        <w:br w:type="page"/>
      </w:r>
    </w:p>
    <w:p>
      <w:pPr>
        <w:spacing w:line="360" w:lineRule="auto"/>
        <w:ind w:left="614" w:hanging="617" w:hangingChars="192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</w:p>
    <w:p>
      <w:pPr>
        <w:spacing w:line="360" w:lineRule="auto"/>
        <w:ind w:left="614" w:hanging="617" w:hangingChars="192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</w:p>
    <w:p>
      <w:pPr>
        <w:spacing w:line="360" w:lineRule="auto"/>
        <w:ind w:left="614" w:hanging="617" w:hangingChars="192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</w:p>
    <w:p>
      <w:pPr>
        <w:spacing w:line="360" w:lineRule="auto"/>
        <w:ind w:left="614" w:hanging="771" w:hangingChars="192"/>
        <w:jc w:val="center"/>
        <w:rPr>
          <w:rFonts w:hint="eastAsia" w:ascii="宋体" w:hAnsi="宋体"/>
          <w:b/>
          <w:bCs/>
          <w:sz w:val="40"/>
          <w:szCs w:val="40"/>
          <w:lang w:eastAsia="zh-CN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填写说明</w:t>
      </w:r>
    </w:p>
    <w:p>
      <w:pPr>
        <w:spacing w:line="360" w:lineRule="auto"/>
        <w:ind w:left="614" w:hanging="617" w:hangingChars="192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书为南京艺术学院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基层教学组织负责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人代表团队与学校签订的项目责任书，经双方签字、盖章后生效，表中所填内容视为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基层教学组织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承诺完成的建设目标及工作内容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本表用A4纸张双面打印填报，本表封面之上不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另加其他封面。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表中各栏目的行数，可根据实际情况自行增减。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请统一使用仿宋、小四字体填写。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五、本表一式三份，一份由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基层教学组织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保管，一份由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基层教学组织所属单位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保管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教务处留存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br w:type="page"/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基层教学组织</w:t>
      </w:r>
      <w:r>
        <w:rPr>
          <w:rFonts w:hint="eastAsia" w:ascii="仿宋_GB2312" w:eastAsia="仿宋_GB2312"/>
          <w:b/>
          <w:bCs/>
          <w:sz w:val="32"/>
          <w:szCs w:val="32"/>
        </w:rPr>
        <w:t>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. 人员构成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（请简述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本团队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成员的年龄、性别、学历、学缘、职称等基本情况）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．建设成果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（请列举团队近三年在教学、科研、创作及队伍建设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方面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校级以上主要成果）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．目标定位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（请简述本团队未来五年的发展定位及建设目标）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both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基层教学组织</w:t>
      </w:r>
      <w:r>
        <w:rPr>
          <w:rFonts w:hint="eastAsia" w:ascii="仿宋_GB2312" w:eastAsia="仿宋_GB2312"/>
          <w:b/>
          <w:bCs/>
          <w:sz w:val="32"/>
          <w:szCs w:val="32"/>
        </w:rPr>
        <w:t>成员情况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负责</w:t>
      </w:r>
      <w:r>
        <w:rPr>
          <w:rFonts w:hint="eastAsia" w:ascii="仿宋_GB2312" w:eastAsia="仿宋_GB2312"/>
          <w:sz w:val="28"/>
          <w:szCs w:val="28"/>
        </w:rPr>
        <w:t>人情况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431"/>
        <w:gridCol w:w="1399"/>
        <w:gridCol w:w="953"/>
        <w:gridCol w:w="1404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别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年   龄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族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高校教龄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专业技术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行政职务</w:t>
            </w:r>
          </w:p>
        </w:tc>
        <w:tc>
          <w:tcPr>
            <w:tcW w:w="37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个人近三年教学、科研、创作</w:t>
            </w:r>
            <w:r>
              <w:rPr>
                <w:rFonts w:hint="eastAsia" w:ascii="仿宋_GB2312" w:eastAsia="仿宋_GB2312"/>
                <w:sz w:val="28"/>
                <w:szCs w:val="28"/>
              </w:rPr>
              <w:t>获奖情况（省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厅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2.成员情况：            </w:t>
      </w:r>
    </w:p>
    <w:tbl>
      <w:tblPr>
        <w:tblStyle w:val="3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675"/>
        <w:gridCol w:w="950"/>
        <w:gridCol w:w="875"/>
        <w:gridCol w:w="1275"/>
        <w:gridCol w:w="142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本校人员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三、基层教学组织建设任务</w:t>
      </w:r>
    </w:p>
    <w:p>
      <w:pPr>
        <w:numPr>
          <w:ilvl w:val="0"/>
          <w:numId w:val="2"/>
        </w:numPr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预期成果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763"/>
        <w:gridCol w:w="2060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任务内容</w:t>
            </w:r>
          </w:p>
        </w:tc>
        <w:tc>
          <w:tcPr>
            <w:tcW w:w="276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成果形式及数量</w:t>
            </w: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预计完成时间</w:t>
            </w:r>
          </w:p>
        </w:tc>
        <w:tc>
          <w:tcPr>
            <w:tcW w:w="132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37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建设</w:t>
            </w:r>
          </w:p>
        </w:tc>
        <w:tc>
          <w:tcPr>
            <w:tcW w:w="276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37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培养青年教师</w:t>
            </w:r>
          </w:p>
        </w:tc>
        <w:tc>
          <w:tcPr>
            <w:tcW w:w="276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37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开展教研探索</w:t>
            </w:r>
          </w:p>
        </w:tc>
        <w:tc>
          <w:tcPr>
            <w:tcW w:w="276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37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开发教学资源</w:t>
            </w:r>
          </w:p>
        </w:tc>
        <w:tc>
          <w:tcPr>
            <w:tcW w:w="276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（可根据实际情况添加或调整）</w:t>
            </w:r>
          </w:p>
        </w:tc>
        <w:tc>
          <w:tcPr>
            <w:tcW w:w="276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2.经费预算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400"/>
        <w:gridCol w:w="3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预算总额</w:t>
            </w:r>
          </w:p>
        </w:tc>
        <w:tc>
          <w:tcPr>
            <w:tcW w:w="606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经费分项名称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金额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元）</w:t>
            </w:r>
          </w:p>
        </w:tc>
        <w:tc>
          <w:tcPr>
            <w:tcW w:w="3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1.教研业务费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6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2.实验材料费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6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3.图书资料费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6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4.项目调研费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6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5.其它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6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5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6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四、基层教学组织负责人承诺</w:t>
      </w:r>
    </w:p>
    <w:tbl>
      <w:tblPr>
        <w:tblStyle w:val="3"/>
        <w:tblpPr w:leftFromText="180" w:rightFromText="180" w:vertAnchor="text" w:horzAnchor="page" w:tblpX="1809" w:tblpY="88"/>
        <w:tblW w:w="83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43" w:hRule="atLeast"/>
        </w:trPr>
        <w:tc>
          <w:tcPr>
            <w:tcW w:w="8320" w:type="dxa"/>
          </w:tcPr>
          <w:p>
            <w:pPr>
              <w:adjustRightInd w:val="0"/>
              <w:spacing w:line="560" w:lineRule="exact"/>
              <w:ind w:left="315" w:leftChars="150" w:right="57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60" w:lineRule="exact"/>
              <w:ind w:left="210" w:leftChars="100" w:right="85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遵守上级和学校的有关规定，保证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充分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的时间与精力投入，确保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本基层教学组织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建设各项工作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保质保量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完成；避免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违反职业道德、弄虚作假、不当使用经费等现象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60" w:lineRule="exact"/>
              <w:ind w:left="210" w:leftChars="100" w:right="85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带领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本基层教学组织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成员主动配合完成年度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考核、验收考核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及临时性项目检查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60" w:lineRule="exact"/>
              <w:ind w:left="210" w:leftChars="100" w:right="85" w:firstLine="480" w:firstLineChars="20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督促成员在省级以上刊物发表教研论文，并注明“南京艺术学院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基层教学组织建设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项目阶段性成果”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60" w:lineRule="exact"/>
              <w:ind w:left="210" w:leftChars="100" w:right="8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按计划合理使用项目经费，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遵照执行相关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管理制度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专款专用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60" w:lineRule="exact"/>
              <w:ind w:left="210" w:leftChars="100" w:right="85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遇经费预算、建设规划等确需做较大调整的，及时报送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所属单位审核，通过后报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学校教务处备案。</w:t>
            </w:r>
          </w:p>
          <w:p>
            <w:pPr>
              <w:adjustRightInd w:val="0"/>
              <w:snapToGrid w:val="0"/>
              <w:spacing w:line="700" w:lineRule="exact"/>
              <w:ind w:left="210" w:leftChars="100" w:right="85"/>
              <w:rPr>
                <w:sz w:val="24"/>
                <w:szCs w:val="24"/>
              </w:rPr>
            </w:pPr>
          </w:p>
          <w:p>
            <w:pPr>
              <w:spacing w:line="280" w:lineRule="atLeast"/>
              <w:ind w:right="136"/>
              <w:rPr>
                <w:sz w:val="24"/>
                <w:szCs w:val="24"/>
              </w:rPr>
            </w:pPr>
          </w:p>
          <w:p>
            <w:pPr>
              <w:spacing w:line="280" w:lineRule="atLeast"/>
              <w:ind w:right="136"/>
              <w:rPr>
                <w:sz w:val="24"/>
                <w:szCs w:val="24"/>
              </w:rPr>
            </w:pPr>
          </w:p>
          <w:p>
            <w:pPr>
              <w:spacing w:line="280" w:lineRule="atLeast"/>
              <w:ind w:right="136"/>
              <w:rPr>
                <w:sz w:val="24"/>
                <w:szCs w:val="24"/>
              </w:rPr>
            </w:pPr>
          </w:p>
          <w:p>
            <w:pPr>
              <w:spacing w:line="280" w:lineRule="atLeast"/>
              <w:ind w:right="136"/>
              <w:rPr>
                <w:sz w:val="24"/>
                <w:szCs w:val="24"/>
              </w:rPr>
            </w:pPr>
          </w:p>
          <w:p>
            <w:pPr>
              <w:spacing w:line="280" w:lineRule="atLeast"/>
              <w:ind w:right="136"/>
              <w:rPr>
                <w:sz w:val="24"/>
                <w:szCs w:val="24"/>
              </w:rPr>
            </w:pPr>
          </w:p>
          <w:p>
            <w:pPr>
              <w:spacing w:line="280" w:lineRule="atLeast"/>
              <w:ind w:right="136"/>
              <w:rPr>
                <w:sz w:val="24"/>
                <w:szCs w:val="24"/>
              </w:rPr>
            </w:pPr>
          </w:p>
          <w:p>
            <w:pPr>
              <w:spacing w:after="120"/>
              <w:ind w:right="136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基层教学组织</w:t>
            </w:r>
            <w:r>
              <w:rPr>
                <w:rFonts w:hint="eastAsia"/>
                <w:sz w:val="24"/>
                <w:szCs w:val="24"/>
              </w:rPr>
              <w:t>负责人（签字）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after="120"/>
              <w:ind w:right="136"/>
              <w:jc w:val="center"/>
              <w:rPr>
                <w:sz w:val="24"/>
                <w:szCs w:val="24"/>
              </w:rPr>
            </w:pPr>
          </w:p>
          <w:p>
            <w:pPr>
              <w:spacing w:after="120"/>
              <w:ind w:right="37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numPr>
          <w:ilvl w:val="0"/>
          <w:numId w:val="0"/>
        </w:numPr>
        <w:ind w:leftChars="200"/>
        <w:jc w:val="both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五、所属单位审核意见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7" w:hRule="atLeast"/>
          <w:jc w:val="center"/>
        </w:trPr>
        <w:tc>
          <w:tcPr>
            <w:tcW w:w="8093" w:type="dxa"/>
            <w:noWrap w:val="0"/>
            <w:vAlign w:val="top"/>
          </w:tcPr>
          <w:p>
            <w:pPr>
              <w:spacing w:line="300" w:lineRule="auto"/>
              <w:rPr>
                <w:rFonts w:hint="eastAsia"/>
                <w:bCs/>
                <w:sz w:val="24"/>
              </w:rPr>
            </w:pPr>
          </w:p>
          <w:p>
            <w:pPr>
              <w:spacing w:line="300" w:lineRule="auto"/>
              <w:ind w:firstLine="560" w:firstLineChars="200"/>
              <w:rPr>
                <w:rFonts w:hint="default" w:eastAsia="宋体"/>
                <w:bCs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经本单位党政联席会集体审议，认为此任务书：</w:t>
            </w:r>
          </w:p>
          <w:bookmarkEnd w:id="0"/>
          <w:p>
            <w:pPr>
              <w:spacing w:line="300" w:lineRule="auto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auto"/>
              <w:ind w:firstLine="3720" w:firstLineChars="1550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单位</w:t>
            </w:r>
            <w:r>
              <w:rPr>
                <w:bCs/>
                <w:sz w:val="24"/>
              </w:rPr>
              <w:t>负责人</w:t>
            </w:r>
            <w:r>
              <w:rPr>
                <w:rFonts w:hint="eastAsia"/>
                <w:bCs/>
                <w:sz w:val="24"/>
                <w:lang w:val="en-US" w:eastAsia="zh-CN"/>
              </w:rPr>
              <w:t>签字</w:t>
            </w:r>
            <w:r>
              <w:rPr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  <w:lang w:val="en-US" w:eastAsia="zh-CN"/>
              </w:rPr>
              <w:t>公章</w:t>
            </w:r>
            <w:r>
              <w:rPr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  <w:lang w:eastAsia="zh-CN"/>
              </w:rPr>
              <w:t>：</w:t>
            </w:r>
          </w:p>
          <w:p>
            <w:pPr>
              <w:spacing w:line="30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　　</w:t>
            </w:r>
            <w:r>
              <w:rPr>
                <w:bCs/>
                <w:sz w:val="24"/>
              </w:rPr>
              <w:t xml:space="preserve">           </w:t>
            </w:r>
            <w:r>
              <w:rPr>
                <w:rFonts w:hint="eastAsia"/>
                <w:bCs/>
                <w:sz w:val="24"/>
              </w:rPr>
              <w:t>　　　　　            　</w:t>
            </w:r>
            <w:r>
              <w:rPr>
                <w:bCs/>
                <w:sz w:val="24"/>
              </w:rPr>
              <w:t>年   月   日</w:t>
            </w:r>
          </w:p>
          <w:p>
            <w:pPr>
              <w:spacing w:line="300" w:lineRule="auto"/>
              <w:rPr>
                <w:rFonts w:hint="eastAsia"/>
                <w:bCs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tabs>
          <w:tab w:val="left" w:pos="5055"/>
        </w:tabs>
        <w:jc w:val="center"/>
      </w:pP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91EB3"/>
    <w:multiLevelType w:val="singleLevel"/>
    <w:tmpl w:val="8B091E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5F007F"/>
    <w:multiLevelType w:val="singleLevel"/>
    <w:tmpl w:val="E15F00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D44F6"/>
    <w:rsid w:val="01F33A07"/>
    <w:rsid w:val="04C41D03"/>
    <w:rsid w:val="062F6372"/>
    <w:rsid w:val="07771E01"/>
    <w:rsid w:val="0D9B0AAB"/>
    <w:rsid w:val="0EB84C8D"/>
    <w:rsid w:val="141E180E"/>
    <w:rsid w:val="18716248"/>
    <w:rsid w:val="24C00A2A"/>
    <w:rsid w:val="2DE27D71"/>
    <w:rsid w:val="2E163DBC"/>
    <w:rsid w:val="30907F59"/>
    <w:rsid w:val="3121705C"/>
    <w:rsid w:val="32511D80"/>
    <w:rsid w:val="437E00E5"/>
    <w:rsid w:val="45754EDA"/>
    <w:rsid w:val="48CA198F"/>
    <w:rsid w:val="4B556D66"/>
    <w:rsid w:val="52344CED"/>
    <w:rsid w:val="5B5003A9"/>
    <w:rsid w:val="65152898"/>
    <w:rsid w:val="7A0A415C"/>
    <w:rsid w:val="7A8D44F6"/>
    <w:rsid w:val="7B95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2022-03-14T15:55:00Z</dcterms:created>
  <dc:creator>KK</dc:creator>
  <cp:lastModifiedBy>章小鱼</cp:lastModifiedBy>
  <dcterms:modified xsi:type="dcterms:W3CDTF">2022-03-31T07:28:18Z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5608DE0531994EC2831AD49CCCBE87E2</vt:lpwstr>
  </property>
</Properties>
</file>