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2014年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立项未结</w:t>
      </w:r>
      <w:r>
        <w:rPr>
          <w:rFonts w:hint="eastAsia" w:ascii="仿宋" w:hAnsi="仿宋" w:eastAsia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/>
          <w:sz w:val="32"/>
          <w:szCs w:val="32"/>
        </w:rPr>
        <w:t>的课题名单</w:t>
      </w:r>
    </w:p>
    <w:tbl>
      <w:tblPr>
        <w:tblStyle w:val="3"/>
        <w:tblW w:w="9041" w:type="dxa"/>
        <w:jc w:val="center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1026"/>
        <w:gridCol w:w="1757"/>
        <w:gridCol w:w="4930"/>
        <w:gridCol w:w="7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主持人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所属学院/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课题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课题级别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堃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文化产业财务管理教材建设的研究与实践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张素琴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舞蹈学专业课程体系优化与教学内容改革的研究与实践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郏而慷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音乐表演专业课程考试模式改革的研究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章崇彬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流行音乐学院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流行音乐慕课教学体系建设与运用研究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周隽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双语播音与主持示范课程建设的研究与实践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中欧艺术类院校产品设计专业教学体系差异性研究——以南京艺术学院与英荷意三所艺术院校相比较为例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高职院校环境艺术设计专业开放式教学模式研究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以实验艺术为资源的设计基础教学的方法研究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李森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艺术概论课程的“问题式”教学方法改革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“文化产业概论”双语课程建设的研究与实践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赵利利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电视剧创作教学与职业标准的衔接研究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王纯子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中外高校文化遗产保护与管理专业人才培养模式的比较研究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文物修复专业实验室建设的研究与实践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李大雁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准备好做个合格的现代景观规划设计师—基于国家注册规划师制度的城市规划设计课程安排的探讨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吴胤赟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艺术院校本科课程考试质量保障策略研究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张叶平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慕课背景下艺术院校网络课程建设研究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国际交流处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国际化-创新型艺术人才培养实践的研究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艺术院校通识教育的重要性和改进途径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非遗传承内容进入高校民间舞课堂的可行性——以苗族反排木鼓舞为例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来静璇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运用现代舞训练改进身体能动性的教学实践与研究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舞蹈编导职业教育校外实习基地实践与研究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曹昆萍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数字技术下高等艺术院校摄影教学模式改革研究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景观设计专业项目制实践工作坊教学模式研究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吴艳洁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教学评估背景下高校教学档案信息化建设与管理研究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  <w:bookmarkStart w:id="0" w:name="_GoBack"/>
            <w:bookmarkEnd w:id="0"/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艺术类高职院校学生人文素养现状分析和对策研究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44846"/>
    <w:rsid w:val="20B44846"/>
    <w:rsid w:val="239C0676"/>
    <w:rsid w:val="53CC1260"/>
    <w:rsid w:val="55DD08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2018-06-07T09:01:00Z</dcterms:created>
  <dc:creator>章小鱼</dc:creator>
  <cp:lastModifiedBy>♥章小鱼♥</cp:lastModifiedBy>
  <dcterms:modified xsi:type="dcterms:W3CDTF">2018-11-19T02:44:54Z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