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spacing w:after="156" w:afterLines="50" w:line="52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教务处各科室主要职责及联系方式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教学研究科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在线课程立项与建设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3517612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学籍管理科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学籍管理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3498342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教务管理科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选课管理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停调课管理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成绩管理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3498058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教学评估科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考务管理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教学投诉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3517629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教室与设备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公共多媒体教室管理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公共琴房、练功房管理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教材管理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3498763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尹老师</w:t>
            </w:r>
          </w:p>
        </w:tc>
      </w:tr>
    </w:tbl>
    <w:p>
      <w:pPr>
        <w:spacing w:before="156" w:beforeLines="50" w:after="156" w:afterLines="50" w:line="52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各教学单位教务办公室联系方式一览表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95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3498290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音乐学院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电影电视学院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舞蹈学院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传媒学院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流行音乐学院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人文学院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工业设计学院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文化产业学院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高等职业教育学院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国际教育学院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马克思主义学院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3517621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信息化建设管理中心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3498276</w:t>
            </w:r>
          </w:p>
        </w:tc>
      </w:tr>
    </w:tbl>
    <w:p/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2022-02-13T12:21:54Z</dcterms:created>
  <dc:creator>小白</dc:creator>
  <cp:lastModifiedBy>ʚ小白ɞ</cp:lastModifiedBy>
  <dcterms:modified xsi:type="dcterms:W3CDTF">2022-02-13T12:22:29Z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